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6434D9AB" w:rsidR="00BC1805" w:rsidRPr="008441F4" w:rsidRDefault="00BC1805" w:rsidP="00BC1805">
      <w:pPr>
        <w:pStyle w:val="Header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100</w:t>
      </w:r>
      <w:r w:rsidR="009964FB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7E7434">
        <w:rPr>
          <w:rFonts w:cs="Arial"/>
          <w:bCs/>
          <w:sz w:val="24"/>
        </w:rPr>
        <w:t>148</w:t>
      </w:r>
      <w:r w:rsidR="006467B6">
        <w:rPr>
          <w:rFonts w:cs="Arial"/>
          <w:bCs/>
          <w:sz w:val="24"/>
        </w:rPr>
        <w:t>3</w:t>
      </w:r>
    </w:p>
    <w:bookmarkEnd w:id="0"/>
    <w:p w14:paraId="30A0757D" w14:textId="77777777" w:rsidR="00BC1805" w:rsidRPr="00610118" w:rsidRDefault="00BC1805" w:rsidP="00BC1805">
      <w:pPr>
        <w:pStyle w:val="Header"/>
        <w:rPr>
          <w:rFonts w:cs="Arial"/>
          <w:sz w:val="24"/>
        </w:rPr>
      </w:pPr>
      <w:r>
        <w:rPr>
          <w:rFonts w:cs="Arial"/>
          <w:bCs/>
          <w:sz w:val="24"/>
        </w:rPr>
        <w:t>Taipei</w:t>
      </w:r>
      <w:r w:rsidRPr="008D4493">
        <w:rPr>
          <w:rFonts w:cs="Arial"/>
          <w:sz w:val="24"/>
        </w:rPr>
        <w:t xml:space="preserve">, </w:t>
      </w:r>
      <w:r>
        <w:rPr>
          <w:rFonts w:cs="Arial"/>
          <w:sz w:val="24"/>
        </w:rPr>
        <w:t>12</w:t>
      </w:r>
      <w:r w:rsidRPr="001D6F5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14</w:t>
      </w:r>
      <w:r w:rsidRPr="001D6F5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>
        <w:rPr>
          <w:rFonts w:cs="Arial"/>
          <w:bCs/>
          <w:sz w:val="24"/>
        </w:rPr>
        <w:t>June</w:t>
      </w:r>
      <w:r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Header"/>
        <w:rPr>
          <w:rFonts w:cs="Arial"/>
          <w:sz w:val="24"/>
          <w:lang w:eastAsia="ja-JP"/>
        </w:rPr>
      </w:pPr>
    </w:p>
    <w:p w14:paraId="10B4D8D8" w14:textId="5D829761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Pr="008441F4">
        <w:rPr>
          <w:rFonts w:cs="Arial"/>
          <w:b/>
          <w:bCs/>
          <w:sz w:val="24"/>
          <w:lang w:val="en-US"/>
        </w:rPr>
        <w:t>9.</w:t>
      </w:r>
      <w:r>
        <w:rPr>
          <w:rFonts w:cs="Arial"/>
          <w:b/>
          <w:bCs/>
          <w:sz w:val="24"/>
        </w:rPr>
        <w:t>3.</w:t>
      </w:r>
      <w:r w:rsidR="00293EEE">
        <w:rPr>
          <w:rFonts w:cs="Arial"/>
          <w:b/>
          <w:bCs/>
          <w:sz w:val="24"/>
        </w:rPr>
        <w:t>2.9</w:t>
      </w:r>
    </w:p>
    <w:p w14:paraId="04EF9B55" w14:textId="0B81971E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r w:rsidRPr="00533422">
        <w:rPr>
          <w:rFonts w:ascii="Arial" w:hAnsi="Arial" w:cs="Arial"/>
          <w:b/>
          <w:sz w:val="24"/>
          <w:lang w:val="en-GB"/>
        </w:rPr>
        <w:t>Nokia</w:t>
      </w:r>
      <w:bookmarkEnd w:id="2"/>
      <w:bookmarkEnd w:id="3"/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6B048115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</w:r>
      <w:r w:rsidR="006467B6">
        <w:rPr>
          <w:rFonts w:ascii="Arial" w:hAnsi="Arial" w:cs="Arial"/>
          <w:b/>
          <w:sz w:val="24"/>
          <w:szCs w:val="24"/>
        </w:rPr>
        <w:t>Endorsed s</w:t>
      </w:r>
      <w:r w:rsidR="00AD3E40">
        <w:rPr>
          <w:rFonts w:ascii="Arial" w:hAnsi="Arial" w:cs="Arial"/>
          <w:b/>
          <w:sz w:val="24"/>
          <w:szCs w:val="24"/>
        </w:rPr>
        <w:t>ummary of o</w:t>
      </w:r>
      <w:r w:rsidR="00AD3E40" w:rsidRPr="00AD3E40">
        <w:rPr>
          <w:rFonts w:ascii="Arial" w:hAnsi="Arial" w:cs="Arial"/>
          <w:b/>
          <w:sz w:val="24"/>
          <w:szCs w:val="24"/>
        </w:rPr>
        <w:t>ffline discussion on XR</w:t>
      </w:r>
    </w:p>
    <w:p w14:paraId="241D7C84" w14:textId="71D54E09" w:rsidR="00BC1805" w:rsidRPr="00226D5B" w:rsidRDefault="00BC1805" w:rsidP="00BC1805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7018D35E" w14:textId="603B81A7" w:rsidR="00C918FE" w:rsidRPr="00DC238A" w:rsidRDefault="0050711F" w:rsidP="00DC238A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 w:rsidRPr="00DC238A">
        <w:rPr>
          <w:rFonts w:cs="Arial"/>
          <w:lang w:val="en-US"/>
        </w:rPr>
        <w:t>Resumption of PDCCH monitoring after NACK</w:t>
      </w:r>
    </w:p>
    <w:p w14:paraId="5479C3EC" w14:textId="3DAF8404" w:rsidR="003A3F54" w:rsidRPr="00E45195" w:rsidRDefault="003A3F54" w:rsidP="00DC1FEC">
      <w:pPr>
        <w:spacing w:after="0"/>
        <w:rPr>
          <w:color w:val="000000" w:themeColor="text1"/>
          <w:sz w:val="20"/>
          <w:szCs w:val="16"/>
        </w:rPr>
      </w:pPr>
    </w:p>
    <w:p w14:paraId="1814EF1E" w14:textId="0B415F13" w:rsidR="00725DBE" w:rsidRDefault="00E45195" w:rsidP="00725DBE">
      <w:pPr>
        <w:spacing w:after="0"/>
        <w:rPr>
          <w:color w:val="FF0000"/>
          <w:sz w:val="20"/>
          <w:szCs w:val="16"/>
          <w:u w:val="single"/>
        </w:rPr>
      </w:pPr>
      <w:r>
        <w:rPr>
          <w:color w:val="000000" w:themeColor="text1"/>
          <w:sz w:val="20"/>
          <w:szCs w:val="16"/>
        </w:rPr>
        <w:t xml:space="preserve">The offline session noted that there will be </w:t>
      </w:r>
      <w:r>
        <w:rPr>
          <w:color w:val="000000" w:themeColor="text1"/>
          <w:sz w:val="20"/>
          <w:szCs w:val="16"/>
          <w:highlight w:val="green"/>
        </w:rPr>
        <w:t>n</w:t>
      </w:r>
      <w:r w:rsidR="0047505D" w:rsidRPr="00AA7147">
        <w:rPr>
          <w:color w:val="000000" w:themeColor="text1"/>
          <w:sz w:val="20"/>
          <w:szCs w:val="16"/>
          <w:highlight w:val="green"/>
        </w:rPr>
        <w:t>o further discussion in RAN1 on this topic</w:t>
      </w:r>
      <w:r w:rsidR="00725DBE">
        <w:rPr>
          <w:color w:val="000000" w:themeColor="text1"/>
          <w:sz w:val="20"/>
          <w:szCs w:val="16"/>
        </w:rPr>
        <w:t xml:space="preserve">, and that the status of this functionality will be independent of the completion of the XR work item. </w:t>
      </w:r>
    </w:p>
    <w:p w14:paraId="3B685E4A" w14:textId="77777777" w:rsidR="00E45195" w:rsidRDefault="00E45195" w:rsidP="00DC1FEC">
      <w:pPr>
        <w:spacing w:after="0"/>
        <w:rPr>
          <w:color w:val="000000" w:themeColor="text1"/>
          <w:sz w:val="20"/>
          <w:szCs w:val="16"/>
        </w:rPr>
      </w:pPr>
    </w:p>
    <w:p w14:paraId="6A440B99" w14:textId="45EC9370" w:rsidR="00443E73" w:rsidRDefault="00725DBE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>A p</w:t>
      </w:r>
      <w:r w:rsidR="00443E73">
        <w:rPr>
          <w:color w:val="000000" w:themeColor="text1"/>
          <w:sz w:val="20"/>
          <w:szCs w:val="16"/>
        </w:rPr>
        <w:t xml:space="preserve">roposed </w:t>
      </w:r>
      <w:r w:rsidR="00256782">
        <w:rPr>
          <w:color w:val="000000" w:themeColor="text1"/>
          <w:sz w:val="20"/>
          <w:szCs w:val="16"/>
        </w:rPr>
        <w:t xml:space="preserve">baseline </w:t>
      </w:r>
      <w:r w:rsidR="00443E73">
        <w:rPr>
          <w:color w:val="000000" w:themeColor="text1"/>
          <w:sz w:val="20"/>
          <w:szCs w:val="16"/>
        </w:rPr>
        <w:t>text</w:t>
      </w:r>
      <w:r w:rsidR="00A31899">
        <w:rPr>
          <w:color w:val="000000" w:themeColor="text1"/>
          <w:sz w:val="20"/>
          <w:szCs w:val="16"/>
        </w:rPr>
        <w:t xml:space="preserve"> from RAN#100</w:t>
      </w:r>
      <w:r w:rsidR="00443E73">
        <w:rPr>
          <w:color w:val="000000" w:themeColor="text1"/>
          <w:sz w:val="20"/>
          <w:szCs w:val="16"/>
        </w:rPr>
        <w:t xml:space="preserve"> for </w:t>
      </w:r>
      <w:r>
        <w:rPr>
          <w:color w:val="000000" w:themeColor="text1"/>
          <w:sz w:val="20"/>
          <w:szCs w:val="16"/>
        </w:rPr>
        <w:t>a C</w:t>
      </w:r>
      <w:r w:rsidR="00443E73">
        <w:rPr>
          <w:color w:val="000000" w:themeColor="text1"/>
          <w:sz w:val="20"/>
          <w:szCs w:val="16"/>
        </w:rPr>
        <w:t xml:space="preserve">R for </w:t>
      </w:r>
      <w:r w:rsidR="007A71AB">
        <w:rPr>
          <w:color w:val="000000" w:themeColor="text1"/>
          <w:sz w:val="20"/>
          <w:szCs w:val="16"/>
        </w:rPr>
        <w:t xml:space="preserve">consideration for </w:t>
      </w:r>
      <w:r w:rsidR="00443E73">
        <w:rPr>
          <w:color w:val="000000" w:themeColor="text1"/>
          <w:sz w:val="20"/>
          <w:szCs w:val="16"/>
        </w:rPr>
        <w:t xml:space="preserve">approval at RAN#101 is </w:t>
      </w:r>
      <w:r>
        <w:rPr>
          <w:color w:val="000000" w:themeColor="text1"/>
          <w:sz w:val="20"/>
          <w:szCs w:val="16"/>
        </w:rPr>
        <w:t>given below</w:t>
      </w:r>
      <w:r w:rsidR="000D7249">
        <w:rPr>
          <w:color w:val="000000" w:themeColor="text1"/>
          <w:sz w:val="20"/>
          <w:szCs w:val="16"/>
        </w:rPr>
        <w:t>:</w:t>
      </w:r>
    </w:p>
    <w:p w14:paraId="5E814D60" w14:textId="77777777" w:rsidR="00380395" w:rsidRDefault="00380395" w:rsidP="00DC1FEC">
      <w:pPr>
        <w:spacing w:after="0"/>
        <w:rPr>
          <w:color w:val="FF0000"/>
          <w:sz w:val="20"/>
          <w:szCs w:val="16"/>
          <w:u w:val="single"/>
        </w:rPr>
      </w:pPr>
    </w:p>
    <w:p w14:paraId="3947E1A8" w14:textId="06B5EC02" w:rsidR="0050711F" w:rsidRDefault="00BE673C" w:rsidP="00DC1FEC">
      <w:pPr>
        <w:spacing w:after="0"/>
        <w:rPr>
          <w:color w:val="FF0000"/>
          <w:sz w:val="20"/>
          <w:szCs w:val="16"/>
          <w:u w:val="single"/>
        </w:rPr>
      </w:pPr>
      <w:r w:rsidRPr="00385B5B">
        <w:rPr>
          <w:color w:val="FF0000"/>
          <w:sz w:val="20"/>
          <w:szCs w:val="16"/>
          <w:u w:val="single"/>
        </w:rPr>
        <w:t>When the UE is configured with [</w:t>
      </w:r>
      <w:proofErr w:type="spellStart"/>
      <w:r w:rsidRPr="00385B5B">
        <w:rPr>
          <w:i/>
          <w:iCs/>
          <w:color w:val="FF0000"/>
          <w:sz w:val="20"/>
          <w:szCs w:val="16"/>
          <w:u w:val="single"/>
        </w:rPr>
        <w:t>PdcchMonitoringResumptionAfterNack</w:t>
      </w:r>
      <w:proofErr w:type="spellEnd"/>
      <w:r w:rsidRPr="00385B5B">
        <w:rPr>
          <w:color w:val="FF0000"/>
          <w:sz w:val="20"/>
          <w:szCs w:val="16"/>
          <w:u w:val="single"/>
        </w:rPr>
        <w:t>], after the UE detects a DCI format providing the PDCCH monitoring adaptation field indicating to the UE to skip PDCCH monitoring for the duration</w:t>
      </w:r>
      <w:r w:rsidRPr="00B66AD8">
        <w:rPr>
          <w:color w:val="FF0000"/>
          <w:sz w:val="20"/>
          <w:szCs w:val="16"/>
          <w:u w:val="single"/>
        </w:rPr>
        <w:t xml:space="preserve"> </w:t>
      </w:r>
      <w:r w:rsidRPr="00385B5B">
        <w:rPr>
          <w:color w:val="FF0000"/>
          <w:sz w:val="20"/>
          <w:szCs w:val="16"/>
          <w:u w:val="single"/>
        </w:rPr>
        <w:t xml:space="preserve">on the active DL BWP of a serving cell, if the UE transmits a PUCCH or a PUSCH providing a NACK value due to incorrectly decoding a PDSCH </w:t>
      </w:r>
      <w:r w:rsidRPr="008114C5">
        <w:rPr>
          <w:color w:val="FF0000"/>
          <w:sz w:val="20"/>
          <w:szCs w:val="16"/>
          <w:u w:val="single"/>
        </w:rPr>
        <w:t>scheduled</w:t>
      </w:r>
      <w:r w:rsidR="00D84E03" w:rsidRPr="008114C5">
        <w:rPr>
          <w:color w:val="FF0000"/>
          <w:sz w:val="20"/>
          <w:szCs w:val="16"/>
          <w:highlight w:val="yellow"/>
          <w:u w:val="single"/>
        </w:rPr>
        <w:t>[</w:t>
      </w:r>
      <w:r w:rsidR="0079347B" w:rsidRPr="008114C5">
        <w:rPr>
          <w:color w:val="FF0000"/>
          <w:sz w:val="20"/>
          <w:szCs w:val="16"/>
          <w:highlight w:val="yellow"/>
          <w:u w:val="single"/>
        </w:rPr>
        <w:t>/activated</w:t>
      </w:r>
      <w:r w:rsidR="00D84E03" w:rsidRPr="008114C5">
        <w:rPr>
          <w:color w:val="FF0000"/>
          <w:sz w:val="20"/>
          <w:szCs w:val="16"/>
          <w:highlight w:val="yellow"/>
          <w:u w:val="single"/>
        </w:rPr>
        <w:t>]</w:t>
      </w:r>
      <w:r w:rsidRPr="008114C5">
        <w:rPr>
          <w:color w:val="FF0000"/>
          <w:sz w:val="20"/>
          <w:szCs w:val="16"/>
          <w:u w:val="single"/>
        </w:rPr>
        <w:t xml:space="preserve"> by a DCI format</w:t>
      </w:r>
      <w:r w:rsidRPr="00385B5B">
        <w:rPr>
          <w:color w:val="FF0000"/>
          <w:sz w:val="20"/>
          <w:szCs w:val="16"/>
          <w:u w:val="single"/>
        </w:rPr>
        <w:t xml:space="preserve"> received from the serving cell, the UE terminates PDCCH skipping, starting from the beginning of a first slot that is after a last symbol of the PUCCH or PUSCH transmission in the serving cell.</w:t>
      </w:r>
    </w:p>
    <w:p w14:paraId="46853E0A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0F4B1E01" w14:textId="114F8BE1" w:rsidR="00F73140" w:rsidRDefault="00A6659F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>Further checking is needed for the text</w:t>
      </w:r>
      <w:r w:rsidR="006467B6">
        <w:rPr>
          <w:color w:val="000000" w:themeColor="text1"/>
          <w:sz w:val="20"/>
          <w:szCs w:val="16"/>
        </w:rPr>
        <w:t xml:space="preserve"> highlighted in yellow</w:t>
      </w:r>
      <w:r>
        <w:rPr>
          <w:color w:val="000000" w:themeColor="text1"/>
          <w:sz w:val="20"/>
          <w:szCs w:val="16"/>
        </w:rPr>
        <w:t xml:space="preserve">. </w:t>
      </w:r>
    </w:p>
    <w:p w14:paraId="52F4F9C6" w14:textId="60374568" w:rsidR="00595FD8" w:rsidRDefault="00595FD8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 xml:space="preserve">It is understood that the above </w:t>
      </w:r>
      <w:proofErr w:type="spellStart"/>
      <w:r>
        <w:rPr>
          <w:color w:val="000000" w:themeColor="text1"/>
          <w:sz w:val="20"/>
          <w:szCs w:val="16"/>
        </w:rPr>
        <w:t>behaviour</w:t>
      </w:r>
      <w:proofErr w:type="spellEnd"/>
      <w:r>
        <w:rPr>
          <w:color w:val="000000" w:themeColor="text1"/>
          <w:sz w:val="20"/>
          <w:szCs w:val="16"/>
        </w:rPr>
        <w:t xml:space="preserve"> does not impact RAN2 DRX procedures. </w:t>
      </w:r>
    </w:p>
    <w:p w14:paraId="051C9E85" w14:textId="77777777" w:rsidR="001F01FC" w:rsidRDefault="001F01FC" w:rsidP="00DC1FEC">
      <w:pPr>
        <w:spacing w:after="0"/>
        <w:rPr>
          <w:color w:val="000000" w:themeColor="text1"/>
          <w:sz w:val="20"/>
          <w:szCs w:val="16"/>
        </w:rPr>
      </w:pPr>
    </w:p>
    <w:p w14:paraId="1401010E" w14:textId="0592443D" w:rsidR="001F01FC" w:rsidRDefault="001F01FC">
      <w:pPr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br w:type="page"/>
      </w:r>
    </w:p>
    <w:p w14:paraId="4AA1C003" w14:textId="77777777" w:rsidR="001F01FC" w:rsidRPr="00E71E0B" w:rsidRDefault="001F01FC" w:rsidP="001F01FC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2 Rx for XR</w:t>
      </w:r>
    </w:p>
    <w:p w14:paraId="3A501399" w14:textId="77777777" w:rsidR="001F01FC" w:rsidRDefault="001F01FC" w:rsidP="001F01FC">
      <w:pPr>
        <w:spacing w:after="0"/>
      </w:pPr>
    </w:p>
    <w:p w14:paraId="2D0CACA0" w14:textId="77777777" w:rsidR="001F01FC" w:rsidRDefault="001F01FC" w:rsidP="001F01FC">
      <w:pPr>
        <w:spacing w:after="0"/>
      </w:pPr>
      <w:r>
        <w:t>The discussion in RAN#100 offline XR session addressed the following point from RAN#99e (RP-230740):</w:t>
      </w:r>
    </w:p>
    <w:p w14:paraId="5A473A02" w14:textId="77777777" w:rsidR="00CA5C04" w:rsidRPr="00CA5C04" w:rsidRDefault="00CA5C04" w:rsidP="001F01FC">
      <w:pPr>
        <w:numPr>
          <w:ilvl w:val="0"/>
          <w:numId w:val="2"/>
        </w:numPr>
        <w:spacing w:after="0"/>
      </w:pPr>
      <w:r w:rsidRPr="00CA5C04">
        <w:rPr>
          <w:u w:val="single"/>
        </w:rPr>
        <w:t xml:space="preserve">Step-1: </w:t>
      </w:r>
      <w:r w:rsidRPr="00CA5C04">
        <w:t xml:space="preserve">Recognize </w:t>
      </w:r>
      <w:proofErr w:type="spellStart"/>
      <w:r w:rsidRPr="00CA5C04">
        <w:t>th</w:t>
      </w:r>
      <w:proofErr w:type="spellEnd"/>
      <w:r w:rsidRPr="00CA5C04">
        <w:rPr>
          <w:lang w:val="en-GB"/>
        </w:rPr>
        <w:t>at</w:t>
      </w:r>
      <w:r w:rsidRPr="00CA5C04">
        <w:t xml:space="preserve"> form factor limitations of a subset of XR devices can make it impossible for these devices to support 4 antenna ports</w:t>
      </w:r>
    </w:p>
    <w:p w14:paraId="79894E4B" w14:textId="77777777" w:rsidR="00CA5C04" w:rsidRPr="00CA5C04" w:rsidRDefault="00CA5C04" w:rsidP="001F01FC">
      <w:pPr>
        <w:numPr>
          <w:ilvl w:val="1"/>
          <w:numId w:val="2"/>
        </w:numPr>
        <w:spacing w:after="0"/>
      </w:pPr>
      <w:r w:rsidRPr="00CA5C04">
        <w:t xml:space="preserve">Exact characterization and form factor limitations of these devices are to be studied in RAN plenary. Contributions are invited to TSG-RAN#100 to address this. </w:t>
      </w:r>
    </w:p>
    <w:p w14:paraId="238D7ED8" w14:textId="77777777" w:rsidR="001F01FC" w:rsidRDefault="001F01FC" w:rsidP="001F01FC">
      <w:pPr>
        <w:spacing w:after="0"/>
      </w:pPr>
    </w:p>
    <w:p w14:paraId="0647F805" w14:textId="77777777" w:rsidR="001F01FC" w:rsidRDefault="001F01FC" w:rsidP="001F01FC">
      <w:pPr>
        <w:spacing w:after="0"/>
      </w:pPr>
      <w:r>
        <w:t xml:space="preserve">The offline session reached the following agreement: </w:t>
      </w:r>
    </w:p>
    <w:p w14:paraId="1202793D" w14:textId="77777777" w:rsidR="001F01FC" w:rsidRDefault="001F01FC" w:rsidP="001F01FC">
      <w:pPr>
        <w:spacing w:after="0"/>
      </w:pPr>
      <w:r w:rsidRPr="00595D18">
        <w:rPr>
          <w:b/>
          <w:bCs/>
          <w:highlight w:val="green"/>
          <w:u w:val="single"/>
        </w:rPr>
        <w:t>Agreement</w:t>
      </w:r>
      <w:r>
        <w:t xml:space="preserve">: handheld smartphone devices are excluded from any 2Rx relaxation for XR wearables. </w:t>
      </w:r>
    </w:p>
    <w:p w14:paraId="03F1CD17" w14:textId="77777777" w:rsidR="001F01FC" w:rsidRDefault="001F01FC" w:rsidP="001F01FC">
      <w:pPr>
        <w:spacing w:after="0"/>
      </w:pPr>
    </w:p>
    <w:p w14:paraId="6E559A1C" w14:textId="71A8BB2F" w:rsidR="001F01FC" w:rsidRDefault="001F01FC" w:rsidP="001F01FC">
      <w:pPr>
        <w:spacing w:after="0"/>
      </w:pPr>
      <w:r>
        <w:t xml:space="preserve">The offline session then discussed some </w:t>
      </w:r>
      <w:r w:rsidRPr="001F01FC">
        <w:rPr>
          <w:b/>
          <w:bCs/>
        </w:rPr>
        <w:t>possible candidate options for characterization of non-</w:t>
      </w:r>
      <w:proofErr w:type="spellStart"/>
      <w:r w:rsidRPr="001F01FC">
        <w:rPr>
          <w:b/>
          <w:bCs/>
        </w:rPr>
        <w:t>RedCap</w:t>
      </w:r>
      <w:proofErr w:type="spellEnd"/>
      <w:r w:rsidRPr="001F01FC">
        <w:rPr>
          <w:b/>
          <w:bCs/>
        </w:rPr>
        <w:t xml:space="preserve"> XR devices to which a 2-Rx relaxation could apply</w:t>
      </w:r>
      <w:r>
        <w:t>, including</w:t>
      </w:r>
      <w:r w:rsidR="006467B6">
        <w:t>, but not necessarily limited to</w:t>
      </w:r>
      <w:r>
        <w:t>:</w:t>
      </w:r>
    </w:p>
    <w:p w14:paraId="65060B32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>Type of device:</w:t>
      </w:r>
    </w:p>
    <w:p w14:paraId="33E87414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(see TR26.928), e.g. [glasses, other XR wearables (further definition required)]</w:t>
      </w:r>
    </w:p>
    <w:p w14:paraId="77B9E0DB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E.g. devices that are supported by ears and/or nose without straps over or behind head?</w:t>
      </w:r>
    </w:p>
    <w:p w14:paraId="30F4173D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 xml:space="preserve">Rx-chain-usable volumetric measure: </w:t>
      </w:r>
    </w:p>
    <w:p w14:paraId="1F2C455F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E.g. smaller than a benchmark of approx. [derived from volume of a smartphone?]</w:t>
      </w:r>
    </w:p>
    <w:p w14:paraId="006E088F" w14:textId="77777777" w:rsidR="001F01FC" w:rsidRDefault="001F01FC" w:rsidP="001F01FC">
      <w:pPr>
        <w:pStyle w:val="ListParagraph"/>
        <w:numPr>
          <w:ilvl w:val="2"/>
          <w:numId w:val="4"/>
        </w:numPr>
        <w:spacing w:after="0"/>
      </w:pPr>
      <w:r>
        <w:t>Consider how to take into account volume that is not available for Rx-chain use</w:t>
      </w:r>
    </w:p>
    <w:p w14:paraId="184B0E86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>Rx-chain-usable surface area measure:</w:t>
      </w:r>
    </w:p>
    <w:p w14:paraId="1278E37B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  <w:contextualSpacing w:val="0"/>
      </w:pPr>
      <w:r>
        <w:t>E.g. smaller than a benchmark of approx. [derived from surface of a smartphone?]</w:t>
      </w:r>
    </w:p>
    <w:p w14:paraId="42BB9886" w14:textId="77777777" w:rsidR="001F01FC" w:rsidRDefault="001F01FC" w:rsidP="001F01FC">
      <w:pPr>
        <w:pStyle w:val="ListParagraph"/>
        <w:numPr>
          <w:ilvl w:val="2"/>
          <w:numId w:val="4"/>
        </w:numPr>
        <w:spacing w:after="0"/>
      </w:pPr>
      <w:r>
        <w:t>Consider how to take into account surface area that is not available for Rx-chain use</w:t>
      </w:r>
    </w:p>
    <w:p w14:paraId="31D71CAB" w14:textId="77777777" w:rsidR="001F01FC" w:rsidRDefault="001F01FC" w:rsidP="001F01FC">
      <w:pPr>
        <w:spacing w:after="0"/>
      </w:pPr>
    </w:p>
    <w:p w14:paraId="24738EF6" w14:textId="77777777" w:rsidR="001F01FC" w:rsidRDefault="001F01FC" w:rsidP="001F01FC">
      <w:pPr>
        <w:spacing w:after="0"/>
      </w:pPr>
      <w:r w:rsidRPr="00DC238A">
        <w:rPr>
          <w:b/>
          <w:bCs/>
          <w:u w:val="single"/>
        </w:rPr>
        <w:t>Conclusion</w:t>
      </w:r>
      <w:r>
        <w:t xml:space="preserve">: Companies are encouraged to consider further details in relation to the above for further discussion at RAN#101. </w:t>
      </w:r>
    </w:p>
    <w:p w14:paraId="004027BF" w14:textId="77777777" w:rsidR="001F01FC" w:rsidRDefault="001F01FC" w:rsidP="001F01FC">
      <w:pPr>
        <w:spacing w:after="0"/>
      </w:pPr>
    </w:p>
    <w:p w14:paraId="57509CF1" w14:textId="77777777" w:rsidR="001F01FC" w:rsidRDefault="001F01FC" w:rsidP="00DC1FEC">
      <w:pPr>
        <w:spacing w:after="0"/>
        <w:rPr>
          <w:color w:val="FF0000"/>
          <w:sz w:val="20"/>
          <w:szCs w:val="16"/>
          <w:u w:val="single"/>
        </w:rPr>
      </w:pPr>
    </w:p>
    <w:p w14:paraId="30D250E9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86FBC82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5EFA3F4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8E71CF8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E3BA41D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FE1B4B5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2090A12C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4A59F2BD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6DA0AA41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5F3EB66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0B5B72FE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FDC636E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4A0D12B1" w14:textId="77777777" w:rsidR="00F73140" w:rsidRDefault="00F73140" w:rsidP="00DC1FEC">
      <w:pPr>
        <w:spacing w:after="0"/>
      </w:pPr>
    </w:p>
    <w:sectPr w:rsidR="00F73140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BDE7912"/>
    <w:multiLevelType w:val="multilevel"/>
    <w:tmpl w:val="F824FEEA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2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786853">
    <w:abstractNumId w:val="3"/>
  </w:num>
  <w:num w:numId="2" w16cid:durableId="1547715427">
    <w:abstractNumId w:val="0"/>
  </w:num>
  <w:num w:numId="3" w16cid:durableId="289868917">
    <w:abstractNumId w:val="4"/>
  </w:num>
  <w:num w:numId="4" w16cid:durableId="1165978540">
    <w:abstractNumId w:val="2"/>
  </w:num>
  <w:num w:numId="5" w16cid:durableId="460147673">
    <w:abstractNumId w:val="1"/>
  </w:num>
  <w:num w:numId="6" w16cid:durableId="1384138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203F8"/>
    <w:rsid w:val="00041909"/>
    <w:rsid w:val="00065955"/>
    <w:rsid w:val="000A36EC"/>
    <w:rsid w:val="000D4B4C"/>
    <w:rsid w:val="000D7249"/>
    <w:rsid w:val="000F54AC"/>
    <w:rsid w:val="0017735D"/>
    <w:rsid w:val="00181F01"/>
    <w:rsid w:val="001838BD"/>
    <w:rsid w:val="001D77E5"/>
    <w:rsid w:val="001F01FC"/>
    <w:rsid w:val="00206830"/>
    <w:rsid w:val="00214917"/>
    <w:rsid w:val="002272D4"/>
    <w:rsid w:val="00256782"/>
    <w:rsid w:val="00264F94"/>
    <w:rsid w:val="00282C0D"/>
    <w:rsid w:val="00293EEE"/>
    <w:rsid w:val="002B603D"/>
    <w:rsid w:val="002B6FBD"/>
    <w:rsid w:val="002C2953"/>
    <w:rsid w:val="002C3720"/>
    <w:rsid w:val="002E5A2D"/>
    <w:rsid w:val="00301B8F"/>
    <w:rsid w:val="00366025"/>
    <w:rsid w:val="00380395"/>
    <w:rsid w:val="003A3F54"/>
    <w:rsid w:val="00440A1B"/>
    <w:rsid w:val="00443E73"/>
    <w:rsid w:val="00467333"/>
    <w:rsid w:val="0047505D"/>
    <w:rsid w:val="004846EA"/>
    <w:rsid w:val="004920A1"/>
    <w:rsid w:val="004B5408"/>
    <w:rsid w:val="004E7663"/>
    <w:rsid w:val="004F17B6"/>
    <w:rsid w:val="0050711F"/>
    <w:rsid w:val="00517E10"/>
    <w:rsid w:val="00534C04"/>
    <w:rsid w:val="00574363"/>
    <w:rsid w:val="00592A39"/>
    <w:rsid w:val="00595D18"/>
    <w:rsid w:val="00595FD8"/>
    <w:rsid w:val="005C3555"/>
    <w:rsid w:val="005C7952"/>
    <w:rsid w:val="005E204D"/>
    <w:rsid w:val="00634F99"/>
    <w:rsid w:val="006467B6"/>
    <w:rsid w:val="00657467"/>
    <w:rsid w:val="006C2874"/>
    <w:rsid w:val="006C4EB5"/>
    <w:rsid w:val="006F2EC9"/>
    <w:rsid w:val="00716010"/>
    <w:rsid w:val="00725DBE"/>
    <w:rsid w:val="00733F29"/>
    <w:rsid w:val="0079347B"/>
    <w:rsid w:val="007A71AB"/>
    <w:rsid w:val="007C5469"/>
    <w:rsid w:val="007C6A3C"/>
    <w:rsid w:val="007E7434"/>
    <w:rsid w:val="008114C5"/>
    <w:rsid w:val="008572D1"/>
    <w:rsid w:val="008662DE"/>
    <w:rsid w:val="008B14DD"/>
    <w:rsid w:val="008D5619"/>
    <w:rsid w:val="008D6E90"/>
    <w:rsid w:val="008F024F"/>
    <w:rsid w:val="008F4332"/>
    <w:rsid w:val="00954045"/>
    <w:rsid w:val="009753B0"/>
    <w:rsid w:val="0097705C"/>
    <w:rsid w:val="0098297E"/>
    <w:rsid w:val="009964FB"/>
    <w:rsid w:val="009A0378"/>
    <w:rsid w:val="009B2154"/>
    <w:rsid w:val="009B2363"/>
    <w:rsid w:val="00A13FAD"/>
    <w:rsid w:val="00A31899"/>
    <w:rsid w:val="00A6659F"/>
    <w:rsid w:val="00AA1276"/>
    <w:rsid w:val="00AA7147"/>
    <w:rsid w:val="00AC1E3E"/>
    <w:rsid w:val="00AC6764"/>
    <w:rsid w:val="00AD3E40"/>
    <w:rsid w:val="00AD41DE"/>
    <w:rsid w:val="00AF54D4"/>
    <w:rsid w:val="00B31643"/>
    <w:rsid w:val="00B43643"/>
    <w:rsid w:val="00B66AD8"/>
    <w:rsid w:val="00BA247A"/>
    <w:rsid w:val="00BA6B12"/>
    <w:rsid w:val="00BC1805"/>
    <w:rsid w:val="00BC2C42"/>
    <w:rsid w:val="00BE673C"/>
    <w:rsid w:val="00BE6FC0"/>
    <w:rsid w:val="00BF0D67"/>
    <w:rsid w:val="00C25A89"/>
    <w:rsid w:val="00C46908"/>
    <w:rsid w:val="00C46D72"/>
    <w:rsid w:val="00C918FE"/>
    <w:rsid w:val="00CA5C04"/>
    <w:rsid w:val="00D40FF1"/>
    <w:rsid w:val="00D620B3"/>
    <w:rsid w:val="00D84E03"/>
    <w:rsid w:val="00DA3F2C"/>
    <w:rsid w:val="00DC1FEC"/>
    <w:rsid w:val="00DC238A"/>
    <w:rsid w:val="00DC7697"/>
    <w:rsid w:val="00E01A1C"/>
    <w:rsid w:val="00E245FB"/>
    <w:rsid w:val="00E45195"/>
    <w:rsid w:val="00E83B87"/>
    <w:rsid w:val="00EA30C1"/>
    <w:rsid w:val="00ED2A3D"/>
    <w:rsid w:val="00ED45DB"/>
    <w:rsid w:val="00EE1085"/>
    <w:rsid w:val="00EF10F6"/>
    <w:rsid w:val="00EF3B3B"/>
    <w:rsid w:val="00EF7FC0"/>
    <w:rsid w:val="00F50D0F"/>
    <w:rsid w:val="00F73140"/>
    <w:rsid w:val="00F766A8"/>
    <w:rsid w:val="00FA16F6"/>
    <w:rsid w:val="00FA725F"/>
    <w:rsid w:val="00FD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555"/>
  </w:style>
  <w:style w:type="paragraph" w:styleId="Heading1">
    <w:name w:val="heading 1"/>
    <w:aliases w:val="H1,h1,Heading 1 3GPP"/>
    <w:next w:val="Normal"/>
    <w:link w:val="Heading1Char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C180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C18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BC18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18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18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18FE"/>
    <w:pPr>
      <w:ind w:left="720"/>
      <w:contextualSpacing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"/>
    <w:basedOn w:val="DefaultParagraphFont"/>
    <w:link w:val="Heading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Underrubrik2 Char,H3 Char"/>
    <w:basedOn w:val="DefaultParagraphFont"/>
    <w:link w:val="Heading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Matthew Baker</cp:lastModifiedBy>
  <cp:revision>2</cp:revision>
  <dcterms:created xsi:type="dcterms:W3CDTF">2023-06-13T10:17:00Z</dcterms:created>
  <dcterms:modified xsi:type="dcterms:W3CDTF">2023-06-13T10:17:00Z</dcterms:modified>
</cp:coreProperties>
</file>